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C20" w:rsidRDefault="00B95C20" w:rsidP="00B95C20">
      <w:pPr>
        <w:rPr>
          <w:color w:val="ED7D31" w:themeColor="accent2"/>
        </w:rPr>
      </w:pPr>
      <w:r>
        <w:rPr>
          <w:color w:val="ED7D31" w:themeColor="accent2"/>
        </w:rPr>
        <w:t>N°1: CASPARI MEDIAS</w:t>
      </w:r>
    </w:p>
    <w:p w:rsidR="00B95C20" w:rsidRPr="00B95C20" w:rsidRDefault="00B95C20" w:rsidP="00B95C20">
      <w:pPr>
        <w:rPr>
          <w:b/>
        </w:rPr>
      </w:pPr>
      <w:r w:rsidRPr="00B95C20">
        <w:rPr>
          <w:b/>
        </w:rPr>
        <w:t xml:space="preserve">Cépages: </w:t>
      </w:r>
      <w:proofErr w:type="spellStart"/>
      <w:r w:rsidRPr="00B95C20">
        <w:rPr>
          <w:b/>
        </w:rPr>
        <w:t>Neuburger</w:t>
      </w:r>
      <w:proofErr w:type="spellEnd"/>
    </w:p>
    <w:p w:rsidR="00B95C20" w:rsidRDefault="00B95C20" w:rsidP="00B95C20">
      <w:r>
        <w:t xml:space="preserve">Le vin </w:t>
      </w:r>
      <w:proofErr w:type="spellStart"/>
      <w:r>
        <w:t>Caspari</w:t>
      </w:r>
      <w:proofErr w:type="spellEnd"/>
      <w:r>
        <w:t xml:space="preserve"> est un vin blanc, typique de la zone du centre de la Transylvanie (Medias, </w:t>
      </w:r>
      <w:proofErr w:type="spellStart"/>
      <w:r>
        <w:t>weinland</w:t>
      </w:r>
      <w:proofErr w:type="spellEnd"/>
      <w:r>
        <w:t xml:space="preserve">). </w:t>
      </w:r>
    </w:p>
    <w:p w:rsidR="00B95C20" w:rsidRDefault="00B95C20" w:rsidP="00B95C20">
      <w:r>
        <w:t>Il se distingue:</w:t>
      </w:r>
    </w:p>
    <w:p w:rsidR="00B95C20" w:rsidRDefault="00B95C20" w:rsidP="00B95C20">
      <w:r>
        <w:t xml:space="preserve">- </w:t>
      </w:r>
      <w:r>
        <w:t xml:space="preserve">par son cépage, </w:t>
      </w:r>
      <w:proofErr w:type="spellStart"/>
      <w:r>
        <w:t>neuburger</w:t>
      </w:r>
      <w:proofErr w:type="spellEnd"/>
      <w:r>
        <w:t>, un cépage noble, importé dans la région il y a plusieurs siècles par les "</w:t>
      </w:r>
      <w:proofErr w:type="spellStart"/>
      <w:r>
        <w:t>sashi</w:t>
      </w:r>
      <w:proofErr w:type="spellEnd"/>
      <w:r>
        <w:t>" germanophones</w:t>
      </w:r>
    </w:p>
    <w:p w:rsidR="00B95C20" w:rsidRDefault="00B95C20" w:rsidP="00B95C20">
      <w:r>
        <w:t>- par son histoire, qui dure depuis 1868</w:t>
      </w:r>
    </w:p>
    <w:p w:rsidR="00B95C20" w:rsidRDefault="00B95C20" w:rsidP="00B95C20">
      <w:r>
        <w:t>- par son élégance et ses qualités gustatives incroyables, qui en font un excellent vin de Transylvanie</w:t>
      </w:r>
    </w:p>
    <w:p w:rsidR="00B95C20" w:rsidRDefault="00B95C20" w:rsidP="00B95C20">
      <w:r>
        <w:t xml:space="preserve">- Vin produit en édition limitée de 750 bouteilles. </w:t>
      </w:r>
    </w:p>
    <w:p w:rsidR="00B95C20" w:rsidRDefault="00B95C20" w:rsidP="00B95C20">
      <w:r>
        <w:t>Alcool: 13,5%</w:t>
      </w:r>
    </w:p>
    <w:p w:rsidR="00B95C20" w:rsidRDefault="00B95C20" w:rsidP="00B95C20">
      <w:r>
        <w:t>Cépage</w:t>
      </w:r>
      <w:r>
        <w:t xml:space="preserve"> blanc NEUBURGER (origine WACHAU AUTRICHE)</w:t>
      </w:r>
    </w:p>
    <w:p w:rsidR="00B95C20" w:rsidRDefault="00B95C20" w:rsidP="00B95C20">
      <w:r>
        <w:rPr>
          <w:rFonts w:ascii="Calibri" w:hAnsi="Calibri" w:cs="Calibri"/>
          <w:b/>
          <w:bCs/>
          <w:noProof/>
          <w:color w:val="222222"/>
          <w:sz w:val="24"/>
          <w:szCs w:val="24"/>
          <w:lang w:eastAsia="fr-FR"/>
        </w:rPr>
        <w:drawing>
          <wp:inline distT="0" distB="0" distL="0" distR="0">
            <wp:extent cx="3476625" cy="52482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C20" w:rsidRDefault="00B95C20" w:rsidP="00B95C20"/>
    <w:p w:rsidR="00B95C20" w:rsidRDefault="00B95C20" w:rsidP="00B95C20">
      <w:r>
        <w:t xml:space="preserve"> </w:t>
      </w:r>
    </w:p>
    <w:p w:rsidR="00B95C20" w:rsidRDefault="00B95C20" w:rsidP="00B95C20"/>
    <w:p w:rsidR="00B95C20" w:rsidRDefault="00B95C20" w:rsidP="00B95C20">
      <w:pPr>
        <w:rPr>
          <w:b/>
          <w:color w:val="ED7D31" w:themeColor="accent2"/>
        </w:rPr>
      </w:pPr>
      <w:r>
        <w:rPr>
          <w:b/>
          <w:color w:val="ED7D31" w:themeColor="accent2"/>
        </w:rPr>
        <w:t>N°</w:t>
      </w:r>
      <w:r w:rsidRPr="00B95C20">
        <w:rPr>
          <w:b/>
          <w:color w:val="ED7D31" w:themeColor="accent2"/>
        </w:rPr>
        <w:t>2: 413 M</w:t>
      </w:r>
      <w:r>
        <w:rPr>
          <w:b/>
          <w:color w:val="ED7D31" w:themeColor="accent2"/>
        </w:rPr>
        <w:t>ARCEA RESERVE</w:t>
      </w:r>
    </w:p>
    <w:p w:rsidR="00B95C20" w:rsidRPr="00B95C20" w:rsidRDefault="00B95C20" w:rsidP="00B95C20">
      <w:pPr>
        <w:rPr>
          <w:b/>
        </w:rPr>
      </w:pPr>
      <w:r w:rsidRPr="00B95C20">
        <w:rPr>
          <w:b/>
        </w:rPr>
        <w:t xml:space="preserve">Cépage roumain : </w:t>
      </w:r>
      <w:proofErr w:type="spellStart"/>
      <w:r w:rsidRPr="00B95C20">
        <w:rPr>
          <w:b/>
        </w:rPr>
        <w:t>Tamaiosa</w:t>
      </w:r>
      <w:proofErr w:type="spellEnd"/>
      <w:r w:rsidRPr="00B95C20">
        <w:rPr>
          <w:b/>
        </w:rPr>
        <w:t xml:space="preserve"> </w:t>
      </w:r>
      <w:proofErr w:type="spellStart"/>
      <w:r w:rsidRPr="00B95C20">
        <w:rPr>
          <w:b/>
        </w:rPr>
        <w:t>Romaneasca</w:t>
      </w:r>
      <w:proofErr w:type="spellEnd"/>
    </w:p>
    <w:p w:rsidR="00B95C20" w:rsidRDefault="00B95C20" w:rsidP="00B95C20">
      <w:proofErr w:type="spellStart"/>
      <w:r>
        <w:t>Marcea</w:t>
      </w:r>
      <w:proofErr w:type="spellEnd"/>
      <w:r>
        <w:t xml:space="preserve"> est une région viticole particulière </w:t>
      </w:r>
      <w:proofErr w:type="spellStart"/>
      <w:r>
        <w:t>a</w:t>
      </w:r>
      <w:proofErr w:type="spellEnd"/>
      <w:r>
        <w:t xml:space="preserve"> une altitude de 413 m, présentant une exposition sud, des sols froids et lourds qui confèrent aux vins une minéralité et une forte acidité.</w:t>
      </w:r>
    </w:p>
    <w:p w:rsidR="00B95C20" w:rsidRDefault="00B95C20" w:rsidP="00B95C20">
      <w:pPr>
        <w:jc w:val="both"/>
      </w:pPr>
      <w:r>
        <w:t xml:space="preserve">Ce vin est élevé en fûts de chêne pendant au moins 6 mois puis est mis en bouteilles  afin de posséder une maturité de 6 mois supplémentaires. Les vins de la collection </w:t>
      </w:r>
      <w:proofErr w:type="spellStart"/>
      <w:r>
        <w:t>Marcea</w:t>
      </w:r>
      <w:proofErr w:type="spellEnd"/>
      <w:r>
        <w:t xml:space="preserve"> Reserve, embouteillés en séries limitées, sont des vins corsés à l'arôme complexe (on peut citer: Fleurs blanches, fleurs d'acacia fraîches), est parfait  pour accompagner de la cuisine moderne et sophistiquée.</w:t>
      </w:r>
    </w:p>
    <w:p w:rsidR="00B95C20" w:rsidRDefault="00B95C20" w:rsidP="00B95C20">
      <w:pPr>
        <w:jc w:val="both"/>
      </w:pPr>
      <w:r>
        <w:t>Typicité du raisin</w:t>
      </w:r>
    </w:p>
    <w:p w:rsidR="00B95C20" w:rsidRDefault="00B95C20" w:rsidP="00B95C20">
      <w:pPr>
        <w:jc w:val="both"/>
      </w:pPr>
      <w:r w:rsidRPr="00B95C20">
        <w:t xml:space="preserve">le </w:t>
      </w:r>
      <w:proofErr w:type="spellStart"/>
      <w:r w:rsidRPr="00B95C20">
        <w:t>Tamaioasa</w:t>
      </w:r>
      <w:proofErr w:type="spellEnd"/>
      <w:r w:rsidRPr="00B95C20">
        <w:t xml:space="preserve"> est considéré comme étant un cépage autochtone</w:t>
      </w:r>
      <w:r>
        <w:t xml:space="preserve"> : </w:t>
      </w:r>
    </w:p>
    <w:p w:rsidR="00B95C20" w:rsidRDefault="00B95C20" w:rsidP="00B95C20">
      <w:pPr>
        <w:pStyle w:val="Paragraphedeliste"/>
        <w:numPr>
          <w:ilvl w:val="0"/>
          <w:numId w:val="1"/>
        </w:numPr>
        <w:jc w:val="both"/>
      </w:pPr>
      <w:r>
        <w:t>grappes riches avec des raisins de taille moyenne à grande et de forme sphérique et les peaux sont de couleur or jaune, avec une pulpe juteuse, aromatique et croustillante</w:t>
      </w:r>
    </w:p>
    <w:p w:rsidR="00B95C20" w:rsidRDefault="00B95C20" w:rsidP="00B95C20">
      <w:pPr>
        <w:pStyle w:val="Paragraphedeliste"/>
        <w:numPr>
          <w:ilvl w:val="0"/>
          <w:numId w:val="1"/>
        </w:numPr>
        <w:jc w:val="both"/>
      </w:pPr>
      <w:r>
        <w:t xml:space="preserve">le </w:t>
      </w:r>
      <w:proofErr w:type="spellStart"/>
      <w:r>
        <w:t>Tamaioasa</w:t>
      </w:r>
      <w:proofErr w:type="spellEnd"/>
      <w:r>
        <w:t xml:space="preserve"> </w:t>
      </w:r>
      <w:proofErr w:type="spellStart"/>
      <w:r>
        <w:t>Romaneasca</w:t>
      </w:r>
      <w:proofErr w:type="spellEnd"/>
      <w:r>
        <w:t xml:space="preserve"> est généralement cueilli en septembre</w:t>
      </w:r>
    </w:p>
    <w:p w:rsidR="00B95C20" w:rsidRDefault="00B95C20" w:rsidP="00B95C20">
      <w:pPr>
        <w:pStyle w:val="Paragraphedeliste"/>
        <w:numPr>
          <w:ilvl w:val="0"/>
          <w:numId w:val="1"/>
        </w:numPr>
        <w:jc w:val="both"/>
      </w:pPr>
      <w:r>
        <w:t xml:space="preserve">les régions ensoleillées avec un sol riche, là où les raisins peuvent gagner beaucoup en sucre et en saveurs, sont idéales pour le </w:t>
      </w:r>
      <w:proofErr w:type="spellStart"/>
      <w:r>
        <w:t>Tamaioasa</w:t>
      </w:r>
      <w:proofErr w:type="spellEnd"/>
      <w:r>
        <w:t xml:space="preserve"> </w:t>
      </w:r>
      <w:proofErr w:type="spellStart"/>
      <w:r>
        <w:t>Romaneasca</w:t>
      </w:r>
      <w:proofErr w:type="spellEnd"/>
    </w:p>
    <w:p w:rsidR="00B95C20" w:rsidRDefault="00B95C20" w:rsidP="00B95C20">
      <w:pPr>
        <w:jc w:val="both"/>
      </w:pPr>
      <w:r>
        <w:t>température de service: 10 à 12 °C</w:t>
      </w:r>
    </w:p>
    <w:p w:rsidR="00B95C20" w:rsidRDefault="00B95C20" w:rsidP="00B95C20">
      <w:r>
        <w:rPr>
          <w:rFonts w:ascii="Calibri" w:hAnsi="Calibri" w:cs="Calibri"/>
          <w:b/>
          <w:bCs/>
          <w:noProof/>
          <w:color w:val="222222"/>
          <w:sz w:val="24"/>
          <w:szCs w:val="24"/>
          <w:lang w:eastAsia="fr-FR"/>
        </w:rPr>
        <w:drawing>
          <wp:inline distT="0" distB="0" distL="0" distR="0">
            <wp:extent cx="3524250" cy="35242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C20" w:rsidRDefault="00B95C20" w:rsidP="00B95C20">
      <w:r>
        <w:t xml:space="preserve"> </w:t>
      </w:r>
    </w:p>
    <w:p w:rsidR="00B95C20" w:rsidRDefault="00B95C20" w:rsidP="00B95C20"/>
    <w:p w:rsidR="00B95C20" w:rsidRDefault="00B95C20" w:rsidP="00B95C20"/>
    <w:p w:rsidR="00B95C20" w:rsidRDefault="00B95C20" w:rsidP="00B95C20"/>
    <w:p w:rsidR="00B95C20" w:rsidRPr="00B95C20" w:rsidRDefault="00B95C20" w:rsidP="00B95C20">
      <w:pPr>
        <w:rPr>
          <w:b/>
        </w:rPr>
      </w:pPr>
      <w:r w:rsidRPr="00B95C20">
        <w:rPr>
          <w:b/>
          <w:color w:val="ED7D31" w:themeColor="accent2"/>
        </w:rPr>
        <w:lastRenderedPageBreak/>
        <w:t>N°3: AMBROSI IMPERIAL</w:t>
      </w:r>
    </w:p>
    <w:p w:rsidR="00B95C20" w:rsidRPr="00B95C20" w:rsidRDefault="00B95C20" w:rsidP="00B95C20">
      <w:pPr>
        <w:rPr>
          <w:b/>
        </w:rPr>
      </w:pPr>
      <w:r w:rsidRPr="00B95C20">
        <w:rPr>
          <w:b/>
        </w:rPr>
        <w:t>Cépage roumain FETEASCA REGALA</w:t>
      </w:r>
    </w:p>
    <w:p w:rsidR="00B95C20" w:rsidRDefault="00B95C20" w:rsidP="00B95C20">
      <w:pPr>
        <w:jc w:val="both"/>
      </w:pPr>
      <w:proofErr w:type="spellStart"/>
      <w:r>
        <w:t>Fetească</w:t>
      </w:r>
      <w:proofErr w:type="spellEnd"/>
      <w:r>
        <w:t xml:space="preserve"> </w:t>
      </w:r>
      <w:proofErr w:type="spellStart"/>
      <w:r>
        <w:t>Regală</w:t>
      </w:r>
      <w:proofErr w:type="spellEnd"/>
      <w:r>
        <w:t xml:space="preserve">  est un cépage blanc, créé dans les années 1930 dans le comté de Mureş , en Roumanie . C'est un croisement naturel de </w:t>
      </w:r>
      <w:proofErr w:type="spellStart"/>
      <w:r>
        <w:t>Grasă</w:t>
      </w:r>
      <w:proofErr w:type="spellEnd"/>
      <w:r>
        <w:t xml:space="preserve"> et </w:t>
      </w:r>
      <w:proofErr w:type="spellStart"/>
      <w:r>
        <w:t>Fetească</w:t>
      </w:r>
      <w:proofErr w:type="spellEnd"/>
      <w:r>
        <w:t xml:space="preserve"> </w:t>
      </w:r>
      <w:proofErr w:type="spellStart"/>
      <w:r>
        <w:t>albă</w:t>
      </w:r>
      <w:proofErr w:type="spellEnd"/>
      <w:r>
        <w:t xml:space="preserve"> . </w:t>
      </w:r>
    </w:p>
    <w:p w:rsidR="00B95C20" w:rsidRDefault="00B95C20" w:rsidP="00B95C20">
      <w:pPr>
        <w:jc w:val="both"/>
      </w:pPr>
      <w:r>
        <w:t>Les arômes en  bouche sont : rose, fleurs des champs, fruits (abricots séchés).</w:t>
      </w:r>
    </w:p>
    <w:p w:rsidR="00B95C20" w:rsidRDefault="00B95C20" w:rsidP="00B95C20">
      <w:pPr>
        <w:jc w:val="both"/>
      </w:pPr>
      <w:r>
        <w:t>Alcool: 13%</w:t>
      </w:r>
    </w:p>
    <w:p w:rsidR="00B95C20" w:rsidRDefault="00B95C20" w:rsidP="00B95C20">
      <w:r>
        <w:rPr>
          <w:rFonts w:ascii="Calibri" w:hAnsi="Calibri" w:cs="Calibri"/>
          <w:b/>
          <w:bCs/>
          <w:noProof/>
          <w:color w:val="222222"/>
          <w:sz w:val="28"/>
          <w:szCs w:val="28"/>
          <w:lang w:eastAsia="fr-FR"/>
        </w:rPr>
        <w:drawing>
          <wp:inline distT="0" distB="0" distL="0" distR="0">
            <wp:extent cx="4362450" cy="32575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C20" w:rsidRDefault="00B95C20" w:rsidP="00B95C20">
      <w:r>
        <w:t xml:space="preserve"> </w:t>
      </w:r>
    </w:p>
    <w:p w:rsidR="00B95C20" w:rsidRPr="00B95C20" w:rsidRDefault="00B95C20" w:rsidP="00B95C20">
      <w:pPr>
        <w:rPr>
          <w:b/>
          <w:color w:val="ED7D31" w:themeColor="accent2"/>
        </w:rPr>
      </w:pPr>
      <w:r w:rsidRPr="00B95C20">
        <w:rPr>
          <w:b/>
          <w:color w:val="ED7D31" w:themeColor="accent2"/>
        </w:rPr>
        <w:t>N°4: 413 M</w:t>
      </w:r>
      <w:r>
        <w:rPr>
          <w:b/>
          <w:color w:val="ED7D31" w:themeColor="accent2"/>
        </w:rPr>
        <w:t>ARCEA RESERVE</w:t>
      </w:r>
    </w:p>
    <w:p w:rsidR="00B95C20" w:rsidRPr="00B95C20" w:rsidRDefault="00B95C20" w:rsidP="00B95C20">
      <w:pPr>
        <w:rPr>
          <w:b/>
        </w:rPr>
      </w:pPr>
      <w:r w:rsidRPr="00B95C20">
        <w:rPr>
          <w:b/>
        </w:rPr>
        <w:t xml:space="preserve">Cépage </w:t>
      </w:r>
      <w:proofErr w:type="spellStart"/>
      <w:r w:rsidRPr="00B95C20">
        <w:rPr>
          <w:b/>
        </w:rPr>
        <w:t>Feteasca</w:t>
      </w:r>
      <w:proofErr w:type="spellEnd"/>
      <w:r w:rsidRPr="00B95C20">
        <w:rPr>
          <w:b/>
        </w:rPr>
        <w:t xml:space="preserve"> </w:t>
      </w:r>
      <w:proofErr w:type="spellStart"/>
      <w:r w:rsidRPr="00B95C20">
        <w:rPr>
          <w:b/>
        </w:rPr>
        <w:t>Neagra</w:t>
      </w:r>
      <w:proofErr w:type="spellEnd"/>
    </w:p>
    <w:p w:rsidR="00B95C20" w:rsidRDefault="00B95C20" w:rsidP="00B95C20">
      <w:r>
        <w:t xml:space="preserve">La réservation Mark 413 </w:t>
      </w:r>
      <w:proofErr w:type="spellStart"/>
      <w:r>
        <w:t>Feteasca</w:t>
      </w:r>
      <w:proofErr w:type="spellEnd"/>
      <w:r>
        <w:t xml:space="preserve"> </w:t>
      </w:r>
      <w:proofErr w:type="spellStart"/>
      <w:r>
        <w:t>Neagră</w:t>
      </w:r>
      <w:proofErr w:type="spellEnd"/>
      <w:r>
        <w:t xml:space="preserve">  est un vin corsé, riche et mûr.</w:t>
      </w:r>
    </w:p>
    <w:p w:rsidR="00B95C20" w:rsidRDefault="00B95C20" w:rsidP="00B95C20">
      <w:r>
        <w:t xml:space="preserve">Le goût de ce vin est sec, persistant, avec un arôme d'épice délicat. </w:t>
      </w:r>
    </w:p>
    <w:p w:rsidR="00B95C20" w:rsidRDefault="00B95C20" w:rsidP="00B95C20">
      <w:r>
        <w:t xml:space="preserve">C'est un vin à savourer avec de la viande rouge ou des desserts au chocolat noir ou accompagné de fruits. </w:t>
      </w:r>
    </w:p>
    <w:p w:rsidR="00B95C20" w:rsidRDefault="00B95C20" w:rsidP="00B95C20">
      <w:r>
        <w:t>Ce vin en Roumanie agrémente de manière traditionnelle les repas de Noel.</w:t>
      </w:r>
    </w:p>
    <w:p w:rsidR="00B95C20" w:rsidRDefault="00B95C20" w:rsidP="00B95C20">
      <w:r>
        <w:rPr>
          <w:rFonts w:ascii="Calibri" w:hAnsi="Calibri" w:cs="Calibri"/>
          <w:noProof/>
          <w:color w:val="707070"/>
          <w:sz w:val="21"/>
          <w:szCs w:val="21"/>
          <w:lang w:eastAsia="fr-FR"/>
        </w:rPr>
        <w:lastRenderedPageBreak/>
        <w:drawing>
          <wp:inline distT="0" distB="0" distL="0" distR="0">
            <wp:extent cx="1695450" cy="2564727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20" cy="256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C20" w:rsidRDefault="00B95C20" w:rsidP="00B95C20">
      <w:r>
        <w:t xml:space="preserve"> </w:t>
      </w:r>
    </w:p>
    <w:p w:rsidR="00B95C20" w:rsidRDefault="00B95C20" w:rsidP="00B95C20"/>
    <w:p w:rsidR="00B95C20" w:rsidRPr="00B95C20" w:rsidRDefault="00B95C20" w:rsidP="00B95C20">
      <w:pPr>
        <w:rPr>
          <w:b/>
          <w:color w:val="ED7D31" w:themeColor="accent2"/>
        </w:rPr>
      </w:pPr>
    </w:p>
    <w:p w:rsidR="00B95C20" w:rsidRPr="00B95C20" w:rsidRDefault="00B95C20" w:rsidP="00B95C20">
      <w:pPr>
        <w:rPr>
          <w:b/>
          <w:color w:val="ED7D31" w:themeColor="accent2"/>
        </w:rPr>
      </w:pPr>
      <w:r>
        <w:rPr>
          <w:b/>
          <w:color w:val="ED7D31" w:themeColor="accent2"/>
        </w:rPr>
        <w:t>N°5: PASIUNI VIN BIO</w:t>
      </w:r>
    </w:p>
    <w:p w:rsidR="00B95C20" w:rsidRPr="00B95C20" w:rsidRDefault="00B95C20" w:rsidP="00B95C20">
      <w:pPr>
        <w:rPr>
          <w:b/>
        </w:rPr>
      </w:pPr>
      <w:r w:rsidRPr="00B95C20">
        <w:rPr>
          <w:b/>
        </w:rPr>
        <w:t xml:space="preserve">Cépage roumain </w:t>
      </w:r>
      <w:proofErr w:type="spellStart"/>
      <w:r w:rsidRPr="00B95C20">
        <w:rPr>
          <w:b/>
        </w:rPr>
        <w:t>Negru</w:t>
      </w:r>
      <w:proofErr w:type="spellEnd"/>
      <w:r w:rsidRPr="00B95C20">
        <w:rPr>
          <w:b/>
        </w:rPr>
        <w:t xml:space="preserve"> de </w:t>
      </w:r>
      <w:proofErr w:type="spellStart"/>
      <w:r w:rsidRPr="00B95C20">
        <w:rPr>
          <w:b/>
        </w:rPr>
        <w:t>Dragasini</w:t>
      </w:r>
      <w:proofErr w:type="spellEnd"/>
    </w:p>
    <w:p w:rsidR="00B95C20" w:rsidRDefault="00B95C20" w:rsidP="00B95C20">
      <w:r>
        <w:t xml:space="preserve">Le vin </w:t>
      </w:r>
      <w:proofErr w:type="spellStart"/>
      <w:r>
        <w:t>Pasiuni</w:t>
      </w:r>
      <w:proofErr w:type="spellEnd"/>
      <w:r>
        <w:t xml:space="preserve"> est un vin rouge vigoureux, robuste. </w:t>
      </w:r>
    </w:p>
    <w:p w:rsidR="00B95C20" w:rsidRDefault="00B95C20" w:rsidP="00B95C20">
      <w:r>
        <w:t xml:space="preserve">Il est obtenu à partir de raisins récoltés à la main et vinifiés selon les méthodes traditionnelles. </w:t>
      </w:r>
    </w:p>
    <w:p w:rsidR="00B95C20" w:rsidRDefault="00B95C20" w:rsidP="00B95C20">
      <w:r>
        <w:t>Le vin excelle par sa couleur</w:t>
      </w:r>
      <w:r>
        <w:t xml:space="preserve"> intense, avec</w:t>
      </w:r>
      <w:r>
        <w:t xml:space="preserve"> une acidité</w:t>
      </w:r>
      <w:r>
        <w:t xml:space="preserve"> équilibré et des arômes de cerises noires, de mûres, de maïs. </w:t>
      </w:r>
    </w:p>
    <w:p w:rsidR="00B95C20" w:rsidRDefault="00B95C20" w:rsidP="00B95C20">
      <w:r>
        <w:t>L'astringence est plaisante caractérisant notamment les vins naturels qui ne nécessitent pas d'intervention de l'homme.</w:t>
      </w:r>
    </w:p>
    <w:p w:rsidR="00B95C20" w:rsidRDefault="00B95C20" w:rsidP="00B95C20"/>
    <w:p w:rsidR="00B95C20" w:rsidRDefault="00B95C20" w:rsidP="00B95C20">
      <w:r>
        <w:t>- SEC -</w:t>
      </w:r>
    </w:p>
    <w:p w:rsidR="00B95C20" w:rsidRDefault="00B95C20" w:rsidP="00B95C20">
      <w:r>
        <w:t>14% alcool</w:t>
      </w:r>
    </w:p>
    <w:p w:rsidR="00B95C20" w:rsidRDefault="00B95C20" w:rsidP="00B95C20">
      <w:r>
        <w:t xml:space="preserve">CMD - Cueillaison à maturité </w:t>
      </w:r>
    </w:p>
    <w:p w:rsidR="00B95C20" w:rsidRDefault="00B95C20" w:rsidP="00B95C20">
      <w:r>
        <w:rPr>
          <w:rFonts w:ascii="Times" w:hAnsi="Times" w:cs="Times"/>
          <w:i/>
          <w:iCs/>
          <w:noProof/>
          <w:color w:val="0A0A0A"/>
          <w:sz w:val="29"/>
          <w:szCs w:val="29"/>
          <w:lang w:eastAsia="fr-FR"/>
        </w:rPr>
        <w:lastRenderedPageBreak/>
        <w:drawing>
          <wp:inline distT="0" distB="0" distL="0" distR="0">
            <wp:extent cx="4362450" cy="43624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C20" w:rsidRDefault="00B95C20" w:rsidP="00B95C20"/>
    <w:p w:rsidR="00B95C20" w:rsidRDefault="00B95C20" w:rsidP="00B95C20">
      <w:r>
        <w:t xml:space="preserve"> </w:t>
      </w:r>
    </w:p>
    <w:p w:rsidR="00B95C20" w:rsidRPr="00B95C20" w:rsidRDefault="00B95C20" w:rsidP="00B95C20">
      <w:pPr>
        <w:rPr>
          <w:b/>
          <w:color w:val="ED7D31" w:themeColor="accent2"/>
        </w:rPr>
      </w:pPr>
    </w:p>
    <w:p w:rsidR="00B95C20" w:rsidRPr="00B95C20" w:rsidRDefault="00B95C20" w:rsidP="00B95C20">
      <w:pPr>
        <w:rPr>
          <w:b/>
          <w:color w:val="ED7D31" w:themeColor="accent2"/>
        </w:rPr>
      </w:pPr>
      <w:r w:rsidRPr="00B95C20">
        <w:rPr>
          <w:b/>
          <w:color w:val="ED7D31" w:themeColor="accent2"/>
        </w:rPr>
        <w:t xml:space="preserve">N°6: </w:t>
      </w:r>
      <w:r w:rsidRPr="00B95C20">
        <w:rPr>
          <w:b/>
          <w:color w:val="ED7D31" w:themeColor="accent2"/>
        </w:rPr>
        <w:t>LA CETATE 2016</w:t>
      </w:r>
    </w:p>
    <w:p w:rsidR="00B95C20" w:rsidRPr="00B95C20" w:rsidRDefault="00B95C20" w:rsidP="00B95C20">
      <w:pPr>
        <w:rPr>
          <w:b/>
        </w:rPr>
      </w:pPr>
      <w:proofErr w:type="spellStart"/>
      <w:r w:rsidRPr="00B95C20">
        <w:rPr>
          <w:b/>
        </w:rPr>
        <w:t>Feteasca</w:t>
      </w:r>
      <w:proofErr w:type="spellEnd"/>
      <w:r w:rsidRPr="00B95C20">
        <w:rPr>
          <w:b/>
        </w:rPr>
        <w:t xml:space="preserve"> </w:t>
      </w:r>
      <w:proofErr w:type="spellStart"/>
      <w:r w:rsidRPr="00B95C20">
        <w:rPr>
          <w:b/>
        </w:rPr>
        <w:t>Neagra</w:t>
      </w:r>
      <w:proofErr w:type="spellEnd"/>
      <w:r w:rsidRPr="00B95C20">
        <w:rPr>
          <w:b/>
        </w:rPr>
        <w:t xml:space="preserve"> cépage roumain</w:t>
      </w:r>
    </w:p>
    <w:p w:rsidR="00B95C20" w:rsidRDefault="00B95C20" w:rsidP="00B95C20"/>
    <w:p w:rsidR="00B95C20" w:rsidRDefault="00B95C20" w:rsidP="00B95C20">
      <w:r>
        <w:t>Produit à partir de raisins soigneusement sélectionnés, ce vin se présente comme un vin harmonieux, complexe et élégant.</w:t>
      </w:r>
    </w:p>
    <w:p w:rsidR="00B95C20" w:rsidRDefault="00B95C20" w:rsidP="00B95C20">
      <w:r>
        <w:t>La première impression est celle d’un vin à la couleur rubis profond avec des reflets grenat et possède un nez riche de canneberges et de cacao.</w:t>
      </w:r>
    </w:p>
    <w:p w:rsidR="00B95C20" w:rsidRDefault="00B95C20" w:rsidP="00B95C20">
      <w:r>
        <w:t>En bouche, le vin est rond, corsé et équilibré, avec des arômes nets de confiture et de chocolat noir.</w:t>
      </w:r>
    </w:p>
    <w:p w:rsidR="00B95C20" w:rsidRDefault="00B95C20" w:rsidP="00B95C20">
      <w:r>
        <w:t>Le vin a un arrière-goût long et il est recommandé de le décanter au moins une demi-heure avant sa consommation.</w:t>
      </w:r>
    </w:p>
    <w:p w:rsidR="00B95C20" w:rsidRDefault="00B95C20" w:rsidP="00B95C20"/>
    <w:p w:rsidR="00B95C20" w:rsidRDefault="00B95C20" w:rsidP="00B95C20">
      <w:r>
        <w:t>Alcool: 14,5%</w:t>
      </w:r>
    </w:p>
    <w:p w:rsidR="00B95C20" w:rsidRDefault="00B95C20" w:rsidP="00B95C20">
      <w:r>
        <w:t xml:space="preserve"> </w:t>
      </w:r>
    </w:p>
    <w:p w:rsidR="00B95C20" w:rsidRDefault="00B95C20" w:rsidP="00B95C20"/>
    <w:p w:rsidR="00B95C20" w:rsidRDefault="00B95C20" w:rsidP="00B95C20"/>
    <w:p w:rsidR="00B95C20" w:rsidRDefault="00B95C20">
      <w:r>
        <w:rPr>
          <w:rFonts w:ascii="Times" w:hAnsi="Times" w:cs="Times"/>
          <w:i/>
          <w:iCs/>
          <w:noProof/>
          <w:color w:val="0A0A0A"/>
          <w:sz w:val="29"/>
          <w:szCs w:val="29"/>
          <w:lang w:eastAsia="fr-FR"/>
        </w:rPr>
        <w:drawing>
          <wp:inline distT="0" distB="0" distL="0" distR="0">
            <wp:extent cx="4095750" cy="32385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C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865875"/>
    <w:multiLevelType w:val="hybridMultilevel"/>
    <w:tmpl w:val="E9B436EE"/>
    <w:lvl w:ilvl="0" w:tplc="0B1A45B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C20"/>
    <w:rsid w:val="0075363B"/>
    <w:rsid w:val="00B9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A1EFDE-365A-4D0F-A329-E7F4359C7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95C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529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CEGID</Company>
  <LinksUpToDate>false</LinksUpToDate>
  <CharactersWithSpaces>3434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rozalia CARA</dc:creator>
  <cp:keywords/>
  <dc:description/>
  <cp:lastModifiedBy>rozalia CARA</cp:lastModifiedBy>
  <cp:revision>1</cp:revision>
  <dcterms:created xsi:type="dcterms:W3CDTF">2019-10-17T22:53:00Z</dcterms:created>
  <dcterms:modified xsi:type="dcterms:W3CDTF">2019-10-17T23:05:00Z</dcterms:modified>
</cp:coreProperties>
</file>